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spacing w:before="0" w:after="400"/>
        <w:jc w:val="center"/>
      </w:pPr>
      <w:r>
        <w:rPr>
          <w:rFonts w:ascii="Arial" w:hAnsi="Arial"/>
          <w:b/>
          <w:color w:val="000000"/>
          <w:sz w:val="20"/>
        </w:rPr>
        <w:t>SOCRATECH × DROP MUSIC</w:t>
      </w:r>
    </w:p>
    <w:p>
      <w:pPr>
        <w:spacing w:before="0" w:after="40"/>
        <w:jc w:val="center"/>
      </w:pPr>
      <w:r>
        <w:rPr>
          <w:rFonts w:ascii="Arial" w:hAnsi="Arial"/>
          <w:b/>
          <w:color w:val="000000"/>
          <w:sz w:val="56"/>
        </w:rPr>
        <w:t>Bibliographie</w:t>
      </w:r>
    </w:p>
    <w:p>
      <w:pPr>
        <w:spacing w:before="0" w:after="280"/>
        <w:jc w:val="center"/>
      </w:pPr>
      <w:r>
        <w:rPr>
          <w:rFonts w:ascii="Arial" w:hAnsi="Arial"/>
          <w:b/>
          <w:color w:val="000000"/>
          <w:sz w:val="36"/>
        </w:rPr>
        <w:t>Sources vérifiées 2024 à 2026</w:t>
      </w:r>
    </w:p>
    <w:p>
      <w:pPr>
        <w:spacing w:before="0" w:after="280"/>
        <w:jc w:val="center"/>
      </w:pPr>
      <w:r>
        <w:rPr>
          <w:rFonts w:ascii="Arial" w:hAnsi="Arial"/>
          <w:b/>
          <w:color w:val="000000"/>
          <w:sz w:val="28"/>
        </w:rPr>
        <w:t>Drop Music</w:t>
      </w:r>
    </w:p>
    <w:p>
      <w:pPr>
        <w:spacing w:before="0" w:after="280"/>
        <w:jc w:val="center"/>
      </w:pPr>
      <w:r>
        <w:rPr>
          <w:rFonts w:ascii="Arial" w:hAnsi="Arial"/>
          <w:b w:val="0"/>
          <w:color w:val="000000"/>
          <w:sz w:val="22"/>
        </w:rPr>
        <w:t>Édition mai 2026</w:t>
      </w:r>
    </w:p>
    <w:p>
      <w:r>
        <w:br w:type="page"/>
      </w:r>
    </w:p>
    <w:p>
      <w:pPr>
        <w:spacing w:before="160" w:after="80"/>
      </w:pPr>
      <w:r>
        <w:rPr>
          <w:rFonts w:ascii="Arial" w:hAnsi="Arial"/>
          <w:b/>
          <w:color w:val="000000"/>
          <w:sz w:val="18"/>
        </w:rPr>
        <w:t>NOTE</w:t>
      </w:r>
    </w:p>
    <w:p>
      <w:pPr>
        <w:spacing w:before="0" w:after="200"/>
      </w:pPr>
      <w:r>
        <w:rPr>
          <w:rFonts w:ascii="Arial" w:hAnsi="Arial"/>
          <w:b/>
          <w:color w:val="000000"/>
          <w:sz w:val="44"/>
        </w:rPr>
        <w:t>À propos de cette bibliographie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22"/>
        </w:rPr>
        <w:t>Toutes les sources mobilisées dans le rapport stratégique Drop Music ont été vérifiées et datent entre janvier 2024 et mai 2026. La hiérarchie de fiabilité est la suivante : études peer-reviewed, sources institutionnelles (McKinsey, Bain, INSEE, UNIMEV, Edelman, Deloitte), médias spécialisés, acteurs métier.</w:t>
      </w:r>
    </w:p>
    <w:p>
      <w:pPr>
        <w:spacing w:before="0" w:after="200"/>
      </w:pPr>
      <w:r>
        <w:rPr>
          <w:rFonts w:ascii="Arial" w:hAnsi="Arial"/>
          <w:b w:val="0"/>
          <w:color w:val="000000"/>
          <w:sz w:val="22"/>
        </w:rPr>
        <w:t>Le rapport principal ne mentionne pas les sources dans le corps de texte pour préserver la lisibilité. Si le client veut creuser une donnée précise, il peut se référer à cette bibliographie thématique.</w:t>
      </w:r>
    </w:p>
    <w:p>
      <w:r>
        <w:br w:type="page"/>
      </w:r>
    </w:p>
    <w:p>
      <w:pPr>
        <w:spacing w:before="160" w:after="80"/>
      </w:pPr>
      <w:r>
        <w:rPr>
          <w:rFonts w:ascii="Arial" w:hAnsi="Arial"/>
          <w:b/>
          <w:color w:val="000000"/>
          <w:sz w:val="18"/>
        </w:rPr>
        <w:t>BIBLIOGRAPHIE</w:t>
      </w:r>
    </w:p>
    <w:p>
      <w:pPr>
        <w:spacing w:before="240" w:after="160"/>
      </w:pPr>
      <w:r>
        <w:rPr>
          <w:rFonts w:ascii="Arial" w:hAnsi="Arial"/>
          <w:b/>
          <w:color w:val="000000"/>
          <w:sz w:val="30"/>
        </w:rPr>
        <w:t>Marché du mariage premium et wedding planners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[1]  INSEE. Bilan démographique 2024, Mariages et Pacs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janvier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247 000 mariages célébrés en France en 2024, plus 10 pour cent par rapport à 2019.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https://www.insee.fr/fr/statistiques/8327319?sommaire=8313983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[2]  CNews, étude CM Event. Budget moyen pour un mariage en 2025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mai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20 100 euros de budget moyen 2025 contre 14 000 euros en 2020.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https://www.cnews.fr/france/2025-05-29/voici-le-budget-moyen-pour-un-mariage-en-2025-selon-une-etude-1688458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[3]  Mariages.net. Rapport secteur nuptial 2025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67 pour cent des couples sollicitent un prestataire musique.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https://www.mariages.net/articles/survivre-organisation-mariage-france-faits-curiosites-rapport-secteur-nuptial--c11444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[4]  ASSOCEM. Le rôle du wedding planner en 2025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Le wedding planner devient pilier de l'expérience mariage.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https://assocem.org/le-role-du-wedding-planner-en-2025-au-dela-de-lorganisation/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[5]  Xerfi. Marché des wedding planners en France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2024.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Analyse de la maturité du marché.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https://www.xerfi.com/blog/Le-marche-des-wedding-planners-une-quete-illusoire-de-maturite-_2171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[6]  ENIT. Wedding and luxury in Italy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17 000 mariages étrangers en Italie en 2025, panier moyen 67 000 euros.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https://www.enit.it/en/wedding-and-luxury-in-italy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[7]  Future Market Insights, Yahoo Finance. Global Destination Wedding Market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34,2 milliards de dollars en 2024, projection 68,2 milliards en 2035.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https://finance.yahoo.com/news/global-destination-wedding-market-set-133000314.html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[8]  The Knot. Destination Wedding Trends 2025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Multi-day, fusion culturelle, animations musicales locales.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https://www.theknot.com/content/destination-wedding-trends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[9]  French Wedding Style. St Tropez Wedding Venues 2025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Tickets supérieurs à 60 000 euros sur la Riviera.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https://www.frenchweddingstyle.com/top-5-wedding-venues-st-tropez/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[10]  The Knot Worldwide. 2025 Global Wedding Report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août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Personnalisation 36 pour cent du facteur mariage mémorable.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https://www.theknotww.com/press-releases/the-knot-worldwides-2025-global-wedding-report-reveals-bold-new-era-of-personalization-and-purpose/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[11]  Think Splendid. 2025 Wedding Market Research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Fourchette luxe 96 à 500 000 dollars.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https://www.thinksplendid.com/blog/wedding-industry-research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[12]  SF Standard. Big-baller bar mitzvahs of Silicon Valley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décembre 2024.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Budget de départ 250 000 dollars chez Glow Events.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https://sfstandard.com/2024/12/08/bar-mitzvah-luxury-bay-area/</w:t>
      </w:r>
    </w:p>
    <w:p>
      <w:r>
        <w:br w:type="page"/>
      </w:r>
    </w:p>
    <w:p>
      <w:pPr>
        <w:spacing w:before="160" w:after="80"/>
      </w:pPr>
      <w:r>
        <w:rPr>
          <w:rFonts w:ascii="Arial" w:hAnsi="Arial"/>
          <w:b/>
          <w:color w:val="000000"/>
          <w:sz w:val="18"/>
        </w:rPr>
        <w:t>BIBLIOGRAPHIE</w:t>
      </w:r>
    </w:p>
    <w:p>
      <w:pPr>
        <w:spacing w:before="240" w:after="160"/>
      </w:pPr>
      <w:r>
        <w:rPr>
          <w:rFonts w:ascii="Arial" w:hAnsi="Arial"/>
          <w:b/>
          <w:color w:val="000000"/>
          <w:sz w:val="30"/>
        </w:rPr>
        <w:t>Marché luxe et clientèle premium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[13]  McKinsey. The State of Luxury Goods 2025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janvier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Les UHNWI représentent 2 à 4 pour cent des clients luxe mais 30 à 40 pour cent de la dépense.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https://www.mckinsey.com/industries/retail/our-insights/state-of-luxury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[14]  Bain &amp; Company, Altagamma. Global Luxury Study 2025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novembre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Marché luxe 1 440 milliards d'euros, bascule confirmée vers les expériences.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https://www.bain.com/about/media-center/press-releases/20252/global-luxury-stays-resilient-despite-economic-headwinds-and-shifting-consumer-trends-that-reshape-marketbain--company-and-altagamma/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[15]  Bain &amp; Company. Luxury Report 2024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novembre 2024.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Expériences seule catégorie en croissance, plus 5 pour cent.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https://www.bain.com/insights/luxury-in-transition-securing-future-growth/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[16]  Psychology &amp; Marketing. Luxury: Where Next? Shukla 2025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Quiet luxury et codes discrets remplacent le logo flashy.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https://onlinelibrary.wiley.com/doi/full/10.1002/mar.22244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[17]  Psychology &amp; Marketing. Luxury value perceptions meta-analysis 2025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Preuve sociale et unicité perçue, deux moteurs principaux de l'intention luxe.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https://onlinelibrary.wiley.com/doi/full/10.1002/mar.22120</w:t>
      </w:r>
    </w:p>
    <w:p>
      <w:r>
        <w:br w:type="page"/>
      </w:r>
    </w:p>
    <w:p>
      <w:pPr>
        <w:spacing w:before="160" w:after="80"/>
      </w:pPr>
      <w:r>
        <w:rPr>
          <w:rFonts w:ascii="Arial" w:hAnsi="Arial"/>
          <w:b/>
          <w:color w:val="000000"/>
          <w:sz w:val="18"/>
        </w:rPr>
        <w:t>BIBLIOGRAPHIE</w:t>
      </w:r>
    </w:p>
    <w:p>
      <w:pPr>
        <w:spacing w:before="240" w:after="160"/>
      </w:pPr>
      <w:r>
        <w:rPr>
          <w:rFonts w:ascii="Arial" w:hAnsi="Arial"/>
          <w:b/>
          <w:color w:val="000000"/>
          <w:sz w:val="30"/>
        </w:rPr>
        <w:t>Tendances vidéo court, TikTok et Reels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[18]  TikTok for Business. Creative Best Practices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2024 à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90 pour cent du recall publicitaire dans les six premières secondes.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https://ads.tiktok.com/business/en/blog/creative-best-practices-top-performing-ads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[19]  Influencer Marketing Hub. TikTok Marketing Report 2025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71 pour cent des utilisateurs décident dans les trois premières secondes.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https://influencermarketinghub.com/tiktok-marketing-report/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[20]  Sprout Social. Sprout Social Index 2025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janvier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52 pour cent des utilisateurs Instagram préfèrent les vidéos de moins de 60 secondes.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https://sproutsocial.com/insights/index/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[21]  HubSpot. 45 Video Marketing Statistics 2025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60 pour cent des marketeurs utilisent la vidéo courte comme format numéro un.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https://blog.hubspot.com/marketing/video-marketing-statistics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[22]  Hootsuite. Instagram Algorithm 2025 et 2026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Watch time, likes et partages en messages directs sont les trois signaux principaux de classement.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https://blog.hootsuite.com/instagram-algorithm/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[23]  Buffer. State of Social Media Engagement 2025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Les Reels génèrent 2,25 fois plus de portée qu'un post photo.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https://buffer.com/resources/state-of-social-media-engagement-2026/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[24]  CreatorsJet. Best Instagram Reel Length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Sweet spot 7 à 15 secondes pour le taux de complétion maximal.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https://www.creatorsjet.com/blog/best-instagram-reel-length-for-engagement-based-on-500-viral-videos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[25]  eMarketer. US TikTok Usage and Time Spent 2025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52 minutes par jour pour les adultes américains sur TikTok.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https://www.emarketer.com/content/us-tiktok-usage-time-spent-2025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[26]  Business of Fashion. How Luxury Finally Cracked TikTok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2024.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Les marques luxe basculent vers le format behind-the-scenes.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https://www.businessoffashion.com/articles/luxury/the-luxury-brands-taking-over-tiktok/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[27]  Deloitte. Global Gen Z and Millennial Survey 2025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52 pour cent des Gen Z plus connectés aux créateurs sociaux qu'aux personnalités TV.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https://www.deloitte.com/global/en/issues/work/genz-millennial-survey.html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[28]  Edelman. Trust Barometer 2025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juin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73 pour cent des consommateurs accordent plus de confiance à une marque qui reflète authentiquement la culture actuelle.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https://www.edelman.com/trust/2025/trust-barometer/special-report-brands</w:t>
      </w:r>
    </w:p>
    <w:p>
      <w:r>
        <w:br w:type="page"/>
      </w:r>
    </w:p>
    <w:p>
      <w:pPr>
        <w:spacing w:before="160" w:after="80"/>
      </w:pPr>
      <w:r>
        <w:rPr>
          <w:rFonts w:ascii="Arial" w:hAnsi="Arial"/>
          <w:b/>
          <w:color w:val="000000"/>
          <w:sz w:val="18"/>
        </w:rPr>
        <w:t>BIBLIOGRAPHIE</w:t>
      </w:r>
    </w:p>
    <w:p>
      <w:pPr>
        <w:spacing w:before="240" w:after="160"/>
      </w:pPr>
      <w:r>
        <w:rPr>
          <w:rFonts w:ascii="Arial" w:hAnsi="Arial"/>
          <w:b/>
          <w:color w:val="000000"/>
          <w:sz w:val="30"/>
        </w:rPr>
        <w:t>Marché événementiel B2B et corporate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[29]  UNIMEV. Event Data Book 2025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juillet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5,5 milliards d'euros investis en événementiel France en 2024, plus 17,6 pour cent contre 2023.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https://www.unimev.fr/wp-content/uploads/2025/07/EVENTDATABOOK_2025_VERSION_WEB_FINALE.pdf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[30]  Républik Event. Synthèse Event Data Book 2025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juillet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23 milliards d'euros de retombées JOP.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https://www.republik-event.fr/strategies/agences-organisations/pratiques/event-data-book-2025-tous-les-chiffres-cles-de-l-industrie-evenementielle.html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[31]  AnyRoad. State of Experiential Marketing 2024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2024.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128 milliards de dollars de dépense mondiale expérientielle en 2024.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https://www.anyroad.com/2024-report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[32]  Bizzabo. Event Marketing Statistics 2025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78 pour cent des marketeurs B2B considèrent les événements en présentiel comme leur canal le plus impactant.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https://www.bizzabo.com/blog/event-marketing-statistics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[33]  Cvent. 390 Event Statistics 2026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 à 2026.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70 pour cent des marketeurs anticipent des budgets en hausse en 2025.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https://www.cvent.com/en/blog/events/event-statistics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[34]  Skift Meetings. Megatrends 2025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décembre 2024.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75,3 pour cent soutiennent les événements en présentiel comme priorité.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https://meetings.skift.com/reports/skift-meetings-megatrends-2025/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[35]  LÉVÉNEMENT, Républik Event. Baromètre 2025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45 pour cent des entreprises investissent plus de 500 000 euros par an en événementiel.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https://www.republik-event.fr/strategies/agences-organisations/barometre-levenement-ce-qu-attendent-les-clients-des-agences-evenementielles-en-2025.html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[36]  Snapbar. 30 plus Experiential Marketing Examples 2025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Cas Airbnb Icons, Spotify Wrapped projection 80 mètres, BMW plus 45 pour cent de leads.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https://snapbar.com/blog/experiential-marketing-examples</w:t>
      </w:r>
    </w:p>
    <w:p>
      <w:r>
        <w:br w:type="page"/>
      </w:r>
    </w:p>
    <w:p>
      <w:pPr>
        <w:spacing w:before="160" w:after="80"/>
      </w:pPr>
      <w:r>
        <w:rPr>
          <w:rFonts w:ascii="Arial" w:hAnsi="Arial"/>
          <w:b/>
          <w:color w:val="000000"/>
          <w:sz w:val="18"/>
        </w:rPr>
        <w:t>BIBLIOGRAPHIE</w:t>
      </w:r>
    </w:p>
    <w:p>
      <w:pPr>
        <w:spacing w:before="240" w:after="160"/>
      </w:pPr>
      <w:r>
        <w:rPr>
          <w:rFonts w:ascii="Arial" w:hAnsi="Arial"/>
          <w:b/>
          <w:color w:val="000000"/>
          <w:sz w:val="30"/>
        </w:rPr>
        <w:t>DJ Live et production événementielle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[37]  Variety. Anyma's Las Vegas Sphere Residency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janvier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Première résidence électronique au Sphere.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https://variety.com/2025/music/news/inside-anyma-sphere-residency-matteo-milleri-1236272604/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[38]  EDM.com. Eric Prydz Holosphere 2.0 Ibiza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Effets holographiques 3D, LED transparente.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https://edm.com/events/eric-pryd-reveals-holosphere-residency-ibiza-2025/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[39]  Mixmag. Hï Ibiza 2024 future of clubbing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2024.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Mutation du club premium vers la dramaturgie de soirée.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https://mixmag.net/feature/hi-ibiza-2024-season-glimpse-into-future-clubbing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[40]  Mykonos Luxury. DJ Line-up 2025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Cartographie des résidences premium Mykonos.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https://mykonos.luxury/blog/summer-2025-mykonos-clubs-line-up-mykonos-dj-line-up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[41]  The Knot. Average Wedding DJ vs Live Band Cost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Marché DJ moyen 1 689 dollars, orchestre 2 500 à 8 000 dollars.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https://www.theknot.com/content/average-cost-wedding-band-dj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[42]  Dan Hawkins Percussion. Luxury Wedding Entertainment Trends 2025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Hybride DJ et musiciens live, tendance numéro un du mariage de luxe.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https://www.danhawkinspercussion.com/blog/5-luxury-wedding-entertainment-trends-for-2025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[43]  Mise en Music. Live Sax and DJ Duos 2025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Explosion du duo DJ et saxophoniste dans l'événementiel premium.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https://www.miseenmusic.com/post/why-live-sax-and-dj-duos-are-the-ultimate-event-trend-of-2025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[44]  BizBash. 5 Music Event Trends 2025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Recul du DJ classique au profit de dispositifs sur mesure.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https://www.bizbash.com/programming-entertainment/5-music-event-trends-making-noise-in-2025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[45]  BizBash. Future of Corporate Events 2025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Budgets corporate basculent vers les expériences immersives.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https://www.bizbash.com/corporate-events/the-future-of-corporate-events-2025-trends-every-planner-needs-to-know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[46]  IQ Magazine. Live audio technology 2025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juin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Demande en hausse pour le son haut de gamme et immersif.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https://www.iqmagazine.com/2025/06/the-changing-landscape-of-live-audio-technology/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[47]  DJ.Studio. DJ Tech Trends 2026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Stems et live remixing, DJ comme arrangeur live.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https://dj.studio/blog/dj-tech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[48]  Billboard. Fred Again, 10 Shows in 10 Cities in 10 Weeks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DJ comme compositeur en temps réel.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https://www.billboard.com/lists/fred-again-10-shows-10-cities-usb002-tour-photos/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[49]  WWD. Beyoncé Cowboy Carter Tour Outfits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Stylisme scénique comme casting de maisons.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https://wwd.com/fashion-news/fashion-scoops/gallery/beyonce-tour-outfits-photos-1237109465/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[50]  Create Collective. Tomorrowland Stage Production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2024.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Plus de 2 ans de conception en interne pour le mainstage.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https://welcometocreate.com/work/tomorrowland-stage-production/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[51]  Notch. Concerts and Performing Arts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2024 à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Movie-quality VFX in real-time.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https://www.notch.one/industries/concerts-performing-arts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[52]  Notch. Arca at Coachella 2025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Effet bullet-time temps réel via tours modulaires.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https://www.notch.one/madewithnotch/arca-at-coachella-2025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[53]  Prismax. Core Festival Visual Extravaganza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2024.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45 VJ packs Unreal Engine pour Core Festival.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https://www.prismax.com/work/core-festival-visual-extravaganza/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[54]  Live Design Online. Patrick Dierson Ultra Mainstage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2024 à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264 fixtures Chauvet pour Ultra mainstage.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https://www.livedesignonline.com/news/tag-supplies-264-chauvet-professional-fixtures-patrick-diersons-ultra-main-stage-lighting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[55]  Live Design Online. Music of the Spheres Lighting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2024.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Lighting design Coldplay, 66 Ayrton Domino S.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https://www.livedesignonline.com/concerts/music-spheres-designers-reach-stars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[56]  Innovation Lighting. Stage Lighting 2025 Trends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Kinétique LED, automation programmable.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https://www.innovationlighting.net/the-future-of-stage-lighting-2025-trends-innovations/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[57]  Markham. Lighting Design Trends Transforming Events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Lumière comme outil de storytelling.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https://www.markham.co/blog/5-lighting-design-trends-transforming-events-in-2025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[58]  Lumina Production. Projection Mapping Trends 2025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Mapping passe d'effet à outil de scénographie totale.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https://www.luminaeventlighting.com/post/top-projection-mapping-trends-for-event-lighting-in-2025/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[59]  ON Services. Event Tech Trends 2025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Production virtuelle live 8,76 milliards de dollars en 2030.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https://www.onservices.com/insights/blog-2025/event-tech-trends.html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[60]  EDM.com. Tomorrowland UNITY Sphere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2024 à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Process motion designer, VJ, opérateur live.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https://edm.com/events/how-tomorrowland-visual-mastermind-built-unity-vegas-sphere-show/</w:t>
      </w:r>
    </w:p>
    <w:p>
      <w:r>
        <w:br w:type="page"/>
      </w:r>
    </w:p>
    <w:p>
      <w:pPr>
        <w:spacing w:before="160" w:after="80"/>
      </w:pPr>
      <w:r>
        <w:rPr>
          <w:rFonts w:ascii="Arial" w:hAnsi="Arial"/>
          <w:b/>
          <w:color w:val="000000"/>
          <w:sz w:val="18"/>
        </w:rPr>
        <w:t>BIBLIOGRAPHIE</w:t>
      </w:r>
    </w:p>
    <w:p>
      <w:pPr>
        <w:spacing w:before="240" w:after="160"/>
      </w:pPr>
      <w:r>
        <w:rPr>
          <w:rFonts w:ascii="Arial" w:hAnsi="Arial"/>
          <w:b/>
          <w:color w:val="000000"/>
          <w:sz w:val="30"/>
        </w:rPr>
        <w:t>Neurosciences, attention et engagement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[61]  PMC. Modern Day High, Neurocognitive Impact of Social Media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Vidéo courte stimule les voies dopaminergiques par stimulation émotionnelle.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https://pmc.ncbi.nlm.nih.gov/articles/PMC12329480/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[62]  Nature, Communications Psychology. Awe is characterized as an ambivalent affect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L'awe combine vastness perçue et need for accommodation.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https://www.nature.com/articles/s44271-025-00299-2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[63]  Journal of Marketing Management. Emotional contagion on social media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Émotions à fort éveil augmentent les partages.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https://www.tandfonline.com/doi/full/10.1080/0267257X.2025.2570739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[64]  Science Communication, SAGE. Storytelling in Science Film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L'engagement narratif prédit la rétention.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https://journals.sagepub.com/doi/10.1177/10755470241269885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[65]  Journal of Advertising. Narrate, Act, and Resonate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2024.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Modèle de transport visuel narratif, revue systématique.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https://www.tandfonline.com/doi/full/10.1080/00913367.2024.2309921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[66]  Applied Cognitive Psychology. Curiosity in news consumption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2024.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Test du modèle de Loewenstein sur 100 000 articles.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https://onlinelibrary.wiley.com/doi/full/10.1002/acp.4195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[67]  Nature Scientific Reports. When curiosity gaps backfire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2024.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Une accroche concrète maintient l'engagement post-clic.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https://www.nature.com/articles/s41598-024-81575-9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[68]  Journal of Business Research. Authenticity advantage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2024.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Vulnérabilité maîtrisée augmente l'engagement.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https://www.sciencedirect.com/science/article/abs/pii/S0148296324004417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[69]  Journal of Marketing Communications. Influencer-created content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2024.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Contenu auto-produit augmente l'authenticité perçue.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https://www.tandfonline.com/doi/full/10.1080/13527266.2024.2371833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[70]  Applied Sciences MDPI. Impact of Sound and Image Features in ASMR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novembre 2024.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Paramètres techniques précis pour les déclencheurs ASMR.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https://www.mdpi.com/2076-3417/14/22/10223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[71]  JMIR. Neural Idiosyncrasies in Response to ASMR Videos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Vidéo supérieure à audio pour activer le système de récompense.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https://www.jmir.org/2025/1/e68586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[72]  Neuroscience of Consciousness, Oxford. ASMR vs Nature, parasympathetic activity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2025.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ASMR ciblé peut surpasser la nature en activation parasympathique.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https://academic.oup.com/nc/article/2025/1/niaf012/8127084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[73]  Global Business Review, SAGE. Celebrity Endorsements and Business Performance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2024.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Le comportement perçu prime sur la cognition pure.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https://journals.sagepub.com/doi/10.1177/09721509241257624</w:t>
      </w:r>
    </w:p>
    <w:p>
      <w:pPr>
        <w:spacing w:before="120" w:after="40"/>
      </w:pPr>
      <w:r>
        <w:rPr>
          <w:rFonts w:ascii="Arial" w:hAnsi="Arial"/>
          <w:b/>
          <w:color w:val="000000"/>
          <w:sz w:val="22"/>
        </w:rPr>
        <w:t>[74]  Journal of Current Issues in Advertising. Mitigating the Vampire Effect of Celebrity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Date : 2024.</w:t>
      </w:r>
    </w:p>
    <w:p>
      <w:pPr>
        <w:spacing w:before="0" w:after="40"/>
      </w:pPr>
      <w:r>
        <w:rPr>
          <w:rFonts w:ascii="Arial" w:hAnsi="Arial"/>
          <w:b w:val="0"/>
          <w:color w:val="000000"/>
          <w:sz w:val="20"/>
        </w:rPr>
        <w:t>La référence implicite contourne l'effet vampire.</w:t>
      </w:r>
    </w:p>
    <w:p>
      <w:pPr>
        <w:spacing w:before="0" w:after="160"/>
      </w:pPr>
      <w:r>
        <w:rPr>
          <w:rFonts w:ascii="Arial" w:hAnsi="Arial"/>
          <w:b w:val="0"/>
          <w:color w:val="000000"/>
          <w:sz w:val="18"/>
        </w:rPr>
        <w:t>Lien : https://www.tandfonline.com/doi/full/10.1080/10641734.2023.2209848</w:t>
      </w:r>
    </w:p>
    <w:sectPr w:rsidR="00FC693F" w:rsidRPr="0006063C" w:rsidSect="00034616">
      <w:pgSz w:w="12240" w:h="15840"/>
      <w:pgMar w:top="1247" w:right="1417" w:bottom="124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